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44ED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Hesperia</w:t>
      </w:r>
    </w:p>
    <w:p w:rsidR="00044ED1" w:rsidRDefault="00044ED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044ED1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044ED1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044ED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044ED1" w:rsidRPr="00044ED1" w:rsidRDefault="00044ED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8D3CAC8" wp14:editId="4EE50744">
            <wp:extent cx="9153525" cy="61531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44ED1" w:rsidRPr="00044ED1" w:rsidSect="00044E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D1"/>
    <w:rsid w:val="00044ED1"/>
    <w:rsid w:val="00206930"/>
    <w:rsid w:val="00A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70EA6-AB30-449D-980B-E627D3C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1,010 Homes</a:t>
            </a:r>
            <a:r>
              <a:rPr lang="en-US" i="1" baseline="0"/>
              <a:t>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25</c:v>
                </c:pt>
                <c:pt idx="1">
                  <c:v>37</c:v>
                </c:pt>
                <c:pt idx="2">
                  <c:v>56</c:v>
                </c:pt>
                <c:pt idx="3">
                  <c:v>128</c:v>
                </c:pt>
                <c:pt idx="4">
                  <c:v>184</c:v>
                </c:pt>
                <c:pt idx="5">
                  <c:v>200</c:v>
                </c:pt>
                <c:pt idx="6">
                  <c:v>156</c:v>
                </c:pt>
                <c:pt idx="7">
                  <c:v>106</c:v>
                </c:pt>
                <c:pt idx="8">
                  <c:v>54</c:v>
                </c:pt>
                <c:pt idx="9">
                  <c:v>23</c:v>
                </c:pt>
                <c:pt idx="10">
                  <c:v>24</c:v>
                </c:pt>
                <c:pt idx="11">
                  <c:v>14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978896"/>
        <c:axId val="77978112"/>
        <c:axId val="0"/>
      </c:bar3DChart>
      <c:catAx>
        <c:axId val="77978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978112"/>
        <c:crosses val="autoZero"/>
        <c:auto val="1"/>
        <c:lblAlgn val="ctr"/>
        <c:lblOffset val="100"/>
        <c:noMultiLvlLbl val="0"/>
      </c:catAx>
      <c:valAx>
        <c:axId val="77978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7978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0.16025</cdr:x>
      <cdr:y>0.12693</cdr:y>
    </cdr:from>
    <cdr:to>
      <cdr:x>0.51093</cdr:x>
      <cdr:y>0.17337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781050"/>
          <a:ext cx="32099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4,000</a:t>
          </a:r>
          <a:r>
            <a:rPr lang="en-US" sz="1100"/>
            <a:t> - Year Built </a:t>
          </a:r>
          <a:r>
            <a:rPr lang="en-US" sz="1100" b="1"/>
            <a:t>1992</a:t>
          </a:r>
        </a:p>
      </cdr:txBody>
    </cdr:sp>
  </cdr:relSizeAnchor>
  <cdr:relSizeAnchor xmlns:cdr="http://schemas.openxmlformats.org/drawingml/2006/chartDrawing">
    <cdr:from>
      <cdr:x>0.16129</cdr:x>
      <cdr:y>0.1935</cdr:y>
    </cdr:from>
    <cdr:to>
      <cdr:x>0.4922</cdr:x>
      <cdr:y>0.23684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90625"/>
          <a:ext cx="3028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3,409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0.16129</cdr:x>
      <cdr:y>0.25697</cdr:y>
    </cdr:from>
    <cdr:to>
      <cdr:x>0.52029</cdr:x>
      <cdr:y>0.29721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81150"/>
          <a:ext cx="3286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3,554 </a:t>
          </a:r>
          <a:r>
            <a:rPr lang="en-US" sz="1100"/>
            <a:t>- Average</a:t>
          </a:r>
          <a:r>
            <a:rPr lang="en-US" sz="1100" baseline="0"/>
            <a:t> Year Built </a:t>
          </a:r>
          <a:r>
            <a:rPr lang="en-US" sz="1100" b="1" baseline="0"/>
            <a:t>2000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0.16129</cdr:x>
      <cdr:y>0.32043</cdr:y>
    </cdr:from>
    <cdr:to>
      <cdr:x>0.52133</cdr:x>
      <cdr:y>0.36068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71675"/>
          <a:ext cx="32956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2,842 </a:t>
          </a:r>
          <a:r>
            <a:rPr lang="en-US" sz="1100"/>
            <a:t>- Average Year Built </a:t>
          </a:r>
          <a:r>
            <a:rPr lang="en-US" sz="1100" b="1"/>
            <a:t>1997</a:t>
          </a:r>
        </a:p>
      </cdr:txBody>
    </cdr:sp>
  </cdr:relSizeAnchor>
  <cdr:relSizeAnchor xmlns:cdr="http://schemas.openxmlformats.org/drawingml/2006/chartDrawing">
    <cdr:from>
      <cdr:x>0.16129</cdr:x>
      <cdr:y>0.3839</cdr:y>
    </cdr:from>
    <cdr:to>
      <cdr:x>0.54318</cdr:x>
      <cdr:y>0.4226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362200"/>
          <a:ext cx="3495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2,474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0.16233</cdr:x>
      <cdr:y>0.44582</cdr:y>
    </cdr:from>
    <cdr:to>
      <cdr:x>0.52237</cdr:x>
      <cdr:y>0.48607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743200"/>
          <a:ext cx="32956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2,426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0.16129</cdr:x>
      <cdr:y>0.50774</cdr:y>
    </cdr:from>
    <cdr:to>
      <cdr:x>0.4974</cdr:x>
      <cdr:y>0.54644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124200"/>
          <a:ext cx="3076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2,309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0.16129</cdr:x>
      <cdr:y>0.57121</cdr:y>
    </cdr:from>
    <cdr:to>
      <cdr:x>0.50052</cdr:x>
      <cdr:y>0.613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14725"/>
          <a:ext cx="31051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2,089</a:t>
          </a:r>
          <a:r>
            <a:rPr lang="en-US" sz="1100"/>
            <a:t> 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0.16025</cdr:x>
      <cdr:y>0.63158</cdr:y>
    </cdr:from>
    <cdr:to>
      <cdr:x>0.49011</cdr:x>
      <cdr:y>0.67183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3886200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1,737 </a:t>
          </a:r>
          <a:r>
            <a:rPr lang="en-US" sz="1100"/>
            <a:t>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0.16129</cdr:x>
      <cdr:y>0.69505</cdr:y>
    </cdr:from>
    <cdr:to>
      <cdr:x>0.47867</cdr:x>
      <cdr:y>0.73375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276725"/>
          <a:ext cx="2905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1,501</a:t>
          </a:r>
          <a:r>
            <a:rPr lang="en-US" sz="1100" baseline="0"/>
            <a:t> - Average Year Built </a:t>
          </a:r>
          <a:r>
            <a:rPr lang="en-US" sz="1100" b="1" baseline="0"/>
            <a:t>1984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0.16129</cdr:x>
      <cdr:y>0.75851</cdr:y>
    </cdr:from>
    <cdr:to>
      <cdr:x>0.51197</cdr:x>
      <cdr:y>0.79567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667250"/>
          <a:ext cx="3209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1,394</a:t>
          </a:r>
          <a:r>
            <a:rPr lang="en-US" sz="1100"/>
            <a:t> - Average Year Built </a:t>
          </a:r>
          <a:r>
            <a:rPr lang="en-US" sz="1100" b="1"/>
            <a:t>1981</a:t>
          </a:r>
        </a:p>
      </cdr:txBody>
    </cdr:sp>
  </cdr:relSizeAnchor>
  <cdr:relSizeAnchor xmlns:cdr="http://schemas.openxmlformats.org/drawingml/2006/chartDrawing">
    <cdr:from>
      <cdr:x>0.16233</cdr:x>
      <cdr:y>0.81889</cdr:y>
    </cdr:from>
    <cdr:to>
      <cdr:x>0.50364</cdr:x>
      <cdr:y>0.85604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38725"/>
          <a:ext cx="31242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1,204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  <cdr:relSizeAnchor xmlns:cdr="http://schemas.openxmlformats.org/drawingml/2006/chartDrawing">
    <cdr:from>
      <cdr:x>0.16129</cdr:x>
      <cdr:y>0.87926</cdr:y>
    </cdr:from>
    <cdr:to>
      <cdr:x>0.48491</cdr:x>
      <cdr:y>0.9195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410200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1,172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  <cdr:relSizeAnchor xmlns:cdr="http://schemas.openxmlformats.org/drawingml/2006/chartDrawing">
    <cdr:from>
      <cdr:x>0.16129</cdr:x>
      <cdr:y>0.94118</cdr:y>
    </cdr:from>
    <cdr:to>
      <cdr:x>0.47659</cdr:x>
      <cdr:y>0.98607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791200"/>
          <a:ext cx="28860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1,215</a:t>
          </a:r>
          <a:r>
            <a:rPr lang="en-US" sz="1100"/>
            <a:t> - Average Year Built </a:t>
          </a:r>
          <a:r>
            <a:rPr lang="en-US" sz="1100" b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2017-11-01T22:32:00Z</dcterms:created>
  <dcterms:modified xsi:type="dcterms:W3CDTF">2017-11-01T22:44:00Z</dcterms:modified>
</cp:coreProperties>
</file>